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489"/>
        <w:gridCol w:w="6941"/>
        <w:gridCol w:w="1665"/>
      </w:tblGrid>
      <w:tr w:rsidR="00443DC6" w:rsidTr="00AF1E11">
        <w:tc>
          <w:tcPr>
            <w:tcW w:w="1490" w:type="dxa"/>
            <w:tcBorders>
              <w:top w:val="single" w:sz="4" w:space="0" w:color="auto"/>
              <w:left w:val="single" w:sz="4" w:space="0" w:color="auto"/>
              <w:bottom w:val="nil"/>
              <w:right w:val="nil"/>
            </w:tcBorders>
          </w:tcPr>
          <w:p w:rsidR="00443DC6" w:rsidRDefault="00443DC6" w:rsidP="00AF1E11">
            <w:pPr>
              <w:spacing w:after="0" w:line="240" w:lineRule="auto"/>
              <w:rPr>
                <w:rFonts w:ascii="Times New Roman" w:hAnsi="Times New Roman"/>
                <w:b/>
                <w:noProof/>
                <w:sz w:val="24"/>
                <w:szCs w:val="24"/>
              </w:rPr>
            </w:pPr>
          </w:p>
        </w:tc>
        <w:tc>
          <w:tcPr>
            <w:tcW w:w="6946" w:type="dxa"/>
            <w:tcBorders>
              <w:top w:val="single" w:sz="4" w:space="0" w:color="auto"/>
              <w:left w:val="nil"/>
              <w:bottom w:val="nil"/>
              <w:right w:val="nil"/>
            </w:tcBorders>
            <w:hideMark/>
          </w:tcPr>
          <w:p w:rsidR="00443DC6" w:rsidRDefault="00443DC6" w:rsidP="00AF1E11">
            <w:pPr>
              <w:spacing w:after="0" w:line="240" w:lineRule="auto"/>
              <w:jc w:val="center"/>
              <w:rPr>
                <w:rFonts w:ascii="Times New Roman" w:hAnsi="Times New Roman"/>
                <w:b/>
                <w:noProof/>
                <w:sz w:val="24"/>
                <w:szCs w:val="24"/>
              </w:rPr>
            </w:pPr>
            <w:r>
              <w:rPr>
                <w:rFonts w:ascii="Times New Roman" w:hAnsi="Times New Roman"/>
                <w:b/>
                <w:noProof/>
                <w:sz w:val="24"/>
                <w:szCs w:val="24"/>
              </w:rPr>
              <w:drawing>
                <wp:inline distT="0" distB="0" distL="0" distR="0">
                  <wp:extent cx="330200" cy="266700"/>
                  <wp:effectExtent l="0" t="0" r="0" b="0"/>
                  <wp:docPr id="5" name="Immagin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200" cy="266700"/>
                          </a:xfrm>
                          <a:prstGeom prst="rect">
                            <a:avLst/>
                          </a:prstGeom>
                          <a:noFill/>
                          <a:ln>
                            <a:noFill/>
                          </a:ln>
                        </pic:spPr>
                      </pic:pic>
                    </a:graphicData>
                  </a:graphic>
                </wp:inline>
              </w:drawing>
            </w:r>
            <w:r>
              <w:rPr>
                <w:rFonts w:ascii="Times New Roman" w:hAnsi="Times New Roman"/>
                <w:b/>
                <w:noProof/>
                <w:sz w:val="24"/>
                <w:szCs w:val="24"/>
              </w:rPr>
              <w:drawing>
                <wp:inline distT="0" distB="0" distL="0" distR="0">
                  <wp:extent cx="260350" cy="298450"/>
                  <wp:effectExtent l="0" t="0" r="6350" b="6350"/>
                  <wp:docPr id="4" name="Immagin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350" cy="298450"/>
                          </a:xfrm>
                          <a:prstGeom prst="rect">
                            <a:avLst/>
                          </a:prstGeom>
                          <a:noFill/>
                          <a:ln>
                            <a:noFill/>
                          </a:ln>
                        </pic:spPr>
                      </pic:pic>
                    </a:graphicData>
                  </a:graphic>
                </wp:inline>
              </w:drawing>
            </w:r>
            <w:r>
              <w:rPr>
                <w:rFonts w:ascii="Times New Roman" w:hAnsi="Times New Roman"/>
                <w:b/>
                <w:noProof/>
                <w:sz w:val="24"/>
                <w:szCs w:val="24"/>
              </w:rPr>
              <w:drawing>
                <wp:inline distT="0" distB="0" distL="0" distR="0">
                  <wp:extent cx="400050" cy="266700"/>
                  <wp:effectExtent l="0" t="0" r="0" b="0"/>
                  <wp:docPr id="3" name="Immagin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1666" w:type="dxa"/>
            <w:tcBorders>
              <w:top w:val="single" w:sz="4" w:space="0" w:color="auto"/>
              <w:left w:val="nil"/>
              <w:bottom w:val="nil"/>
              <w:right w:val="single" w:sz="4" w:space="0" w:color="auto"/>
            </w:tcBorders>
          </w:tcPr>
          <w:p w:rsidR="00443DC6" w:rsidRDefault="00443DC6" w:rsidP="00AF1E11">
            <w:pPr>
              <w:spacing w:after="0" w:line="240" w:lineRule="auto"/>
              <w:rPr>
                <w:rFonts w:ascii="Times New Roman" w:hAnsi="Times New Roman"/>
                <w:b/>
                <w:noProof/>
                <w:sz w:val="24"/>
                <w:szCs w:val="24"/>
              </w:rPr>
            </w:pPr>
          </w:p>
        </w:tc>
      </w:tr>
      <w:tr w:rsidR="00443DC6" w:rsidTr="00AF1E11">
        <w:trPr>
          <w:trHeight w:val="1614"/>
        </w:trPr>
        <w:tc>
          <w:tcPr>
            <w:tcW w:w="1490" w:type="dxa"/>
            <w:tcBorders>
              <w:top w:val="nil"/>
              <w:left w:val="single" w:sz="4" w:space="0" w:color="auto"/>
              <w:bottom w:val="single" w:sz="4" w:space="0" w:color="auto"/>
              <w:right w:val="nil"/>
            </w:tcBorders>
            <w:hideMark/>
          </w:tcPr>
          <w:p w:rsidR="00443DC6" w:rsidRDefault="00443DC6" w:rsidP="00AF1E11">
            <w:pPr>
              <w:spacing w:after="0" w:line="240" w:lineRule="auto"/>
              <w:rPr>
                <w:rFonts w:ascii="Times New Roman" w:hAnsi="Times New Roman"/>
                <w:b/>
                <w:noProof/>
                <w:sz w:val="24"/>
                <w:szCs w:val="24"/>
              </w:rPr>
            </w:pPr>
            <w:r>
              <w:rPr>
                <w:rFonts w:ascii="Times New Roman" w:hAnsi="Times New Roman"/>
                <w:b/>
                <w:noProof/>
                <w:sz w:val="24"/>
                <w:szCs w:val="24"/>
              </w:rPr>
              <w:drawing>
                <wp:inline distT="0" distB="0" distL="0" distR="0">
                  <wp:extent cx="774700" cy="603250"/>
                  <wp:effectExtent l="0" t="0" r="6350" b="6350"/>
                  <wp:docPr id="2"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4700" cy="603250"/>
                          </a:xfrm>
                          <a:prstGeom prst="rect">
                            <a:avLst/>
                          </a:prstGeom>
                          <a:noFill/>
                          <a:ln>
                            <a:noFill/>
                          </a:ln>
                        </pic:spPr>
                      </pic:pic>
                    </a:graphicData>
                  </a:graphic>
                </wp:inline>
              </w:drawing>
            </w:r>
          </w:p>
        </w:tc>
        <w:tc>
          <w:tcPr>
            <w:tcW w:w="6946" w:type="dxa"/>
            <w:tcBorders>
              <w:top w:val="nil"/>
              <w:left w:val="nil"/>
              <w:bottom w:val="single" w:sz="4" w:space="0" w:color="auto"/>
              <w:right w:val="nil"/>
            </w:tcBorders>
            <w:hideMark/>
          </w:tcPr>
          <w:p w:rsidR="00443DC6" w:rsidRDefault="00443DC6" w:rsidP="00AF1E11">
            <w:pPr>
              <w:spacing w:after="0" w:line="240" w:lineRule="auto"/>
              <w:jc w:val="center"/>
              <w:rPr>
                <w:rFonts w:ascii="Bookman Old Style" w:hAnsi="Bookman Old Style"/>
                <w:b/>
                <w:noProof/>
                <w:sz w:val="16"/>
                <w:szCs w:val="16"/>
              </w:rPr>
            </w:pPr>
            <w:r>
              <w:rPr>
                <w:rFonts w:ascii="Bookman Old Style" w:hAnsi="Bookman Old Style"/>
                <w:b/>
                <w:noProof/>
                <w:sz w:val="16"/>
                <w:szCs w:val="16"/>
              </w:rPr>
              <w:t>MIUR USR CALABRIA</w:t>
            </w:r>
          </w:p>
          <w:p w:rsidR="00443DC6" w:rsidRDefault="00443DC6" w:rsidP="00AF1E11">
            <w:pPr>
              <w:spacing w:after="0" w:line="240" w:lineRule="auto"/>
              <w:jc w:val="center"/>
              <w:rPr>
                <w:rFonts w:ascii="Bookman Old Style" w:hAnsi="Bookman Old Style"/>
                <w:b/>
                <w:noProof/>
                <w:sz w:val="16"/>
                <w:szCs w:val="16"/>
              </w:rPr>
            </w:pPr>
            <w:r>
              <w:rPr>
                <w:rFonts w:ascii="Bookman Old Style" w:hAnsi="Bookman Old Style"/>
                <w:b/>
                <w:noProof/>
                <w:sz w:val="16"/>
                <w:szCs w:val="16"/>
              </w:rPr>
              <w:t>Distretto Scolastico n. 17 di Amantea (CS)</w:t>
            </w:r>
          </w:p>
          <w:p w:rsidR="00443DC6" w:rsidRDefault="00443DC6" w:rsidP="00AF1E11">
            <w:pPr>
              <w:spacing w:after="0" w:line="240" w:lineRule="auto"/>
              <w:jc w:val="center"/>
              <w:rPr>
                <w:rFonts w:ascii="Bookman Old Style" w:hAnsi="Bookman Old Style"/>
                <w:b/>
                <w:noProof/>
                <w:sz w:val="16"/>
                <w:szCs w:val="16"/>
              </w:rPr>
            </w:pPr>
            <w:r>
              <w:rPr>
                <w:rFonts w:ascii="Bookman Old Style" w:hAnsi="Bookman Old Style"/>
                <w:b/>
                <w:noProof/>
                <w:sz w:val="16"/>
                <w:szCs w:val="16"/>
              </w:rPr>
              <w:t>ISTITUTO   DI  ISTRUZIONE  SUPERIORE</w:t>
            </w:r>
          </w:p>
          <w:p w:rsidR="00443DC6" w:rsidRDefault="00443DC6" w:rsidP="00AF1E11">
            <w:pPr>
              <w:spacing w:after="0" w:line="240" w:lineRule="auto"/>
              <w:jc w:val="center"/>
              <w:rPr>
                <w:rFonts w:ascii="Bookman Old Style" w:hAnsi="Bookman Old Style"/>
                <w:b/>
                <w:noProof/>
                <w:sz w:val="16"/>
                <w:szCs w:val="16"/>
              </w:rPr>
            </w:pPr>
            <w:r>
              <w:rPr>
                <w:rFonts w:ascii="Bookman Old Style" w:hAnsi="Bookman Old Style"/>
                <w:b/>
                <w:noProof/>
                <w:sz w:val="16"/>
                <w:szCs w:val="16"/>
              </w:rPr>
              <w:t>Licei : Scientifico – Scienze Umane – Scienze Applicate</w:t>
            </w:r>
          </w:p>
          <w:p w:rsidR="00443DC6" w:rsidRDefault="00443DC6" w:rsidP="00AF1E11">
            <w:pPr>
              <w:spacing w:after="0" w:line="240" w:lineRule="auto"/>
              <w:jc w:val="center"/>
              <w:rPr>
                <w:rFonts w:ascii="Bookman Old Style" w:hAnsi="Bookman Old Style"/>
                <w:b/>
                <w:noProof/>
                <w:sz w:val="16"/>
                <w:szCs w:val="16"/>
              </w:rPr>
            </w:pPr>
            <w:r>
              <w:rPr>
                <w:rFonts w:ascii="Bookman Old Style" w:hAnsi="Bookman Old Style"/>
                <w:b/>
                <w:noProof/>
                <w:sz w:val="16"/>
                <w:szCs w:val="16"/>
              </w:rPr>
              <w:t>Istituto Professionale: Odontotecnico – Manutenzione ed Ass. Tecn.</w:t>
            </w:r>
          </w:p>
          <w:p w:rsidR="00443DC6" w:rsidRDefault="00443DC6" w:rsidP="00AF1E11">
            <w:pPr>
              <w:spacing w:after="0" w:line="240" w:lineRule="auto"/>
              <w:jc w:val="center"/>
              <w:rPr>
                <w:rFonts w:ascii="Bookman Old Style" w:hAnsi="Bookman Old Style"/>
                <w:b/>
                <w:noProof/>
                <w:sz w:val="16"/>
                <w:szCs w:val="16"/>
              </w:rPr>
            </w:pPr>
            <w:r>
              <w:rPr>
                <w:rFonts w:ascii="Bookman Old Style" w:hAnsi="Bookman Old Style"/>
                <w:b/>
                <w:noProof/>
                <w:sz w:val="16"/>
                <w:szCs w:val="16"/>
              </w:rPr>
              <w:t>Istituto Tecnico: Chimica, M. e.B.  – Amm.Fin.Marketing – Elettronico – Nautico</w:t>
            </w:r>
          </w:p>
          <w:p w:rsidR="00443DC6" w:rsidRDefault="00443DC6" w:rsidP="00AF1E11">
            <w:pPr>
              <w:spacing w:after="0" w:line="240" w:lineRule="auto"/>
              <w:jc w:val="center"/>
              <w:rPr>
                <w:rFonts w:ascii="Bookman Old Style" w:hAnsi="Bookman Old Style"/>
                <w:b/>
                <w:noProof/>
                <w:sz w:val="16"/>
                <w:szCs w:val="16"/>
                <w:u w:val="single"/>
              </w:rPr>
            </w:pPr>
            <w:r>
              <w:rPr>
                <w:rFonts w:ascii="Bookman Old Style" w:hAnsi="Bookman Old Style"/>
                <w:b/>
                <w:noProof/>
                <w:sz w:val="16"/>
                <w:szCs w:val="16"/>
              </w:rPr>
              <w:t xml:space="preserve">Via S.Antonio – Loc. S.Procopio - 87032  </w:t>
            </w:r>
            <w:r>
              <w:rPr>
                <w:rFonts w:ascii="Bookman Old Style" w:hAnsi="Bookman Old Style"/>
                <w:b/>
                <w:noProof/>
                <w:sz w:val="16"/>
                <w:szCs w:val="16"/>
                <w:u w:val="single"/>
              </w:rPr>
              <w:t xml:space="preserve">AMANTEA </w:t>
            </w:r>
            <w:r>
              <w:rPr>
                <w:rFonts w:ascii="Bookman Old Style" w:hAnsi="Bookman Old Style"/>
                <w:b/>
                <w:noProof/>
                <w:sz w:val="16"/>
                <w:szCs w:val="16"/>
              </w:rPr>
              <w:t>(CS)</w:t>
            </w:r>
          </w:p>
          <w:p w:rsidR="00443DC6" w:rsidRDefault="00443DC6" w:rsidP="00AF1E11">
            <w:pPr>
              <w:spacing w:after="0" w:line="240" w:lineRule="auto"/>
              <w:jc w:val="center"/>
              <w:rPr>
                <w:rFonts w:ascii="Bookman Old Style" w:hAnsi="Bookman Old Style"/>
                <w:b/>
                <w:noProof/>
                <w:sz w:val="16"/>
                <w:szCs w:val="16"/>
              </w:rPr>
            </w:pPr>
            <w:r>
              <w:rPr>
                <w:rFonts w:ascii="Bookman Old Style" w:hAnsi="Bookman Old Style"/>
                <w:b/>
                <w:noProof/>
                <w:sz w:val="16"/>
                <w:szCs w:val="16"/>
              </w:rPr>
              <w:sym w:font="Wingdings" w:char="F028"/>
            </w:r>
            <w:r>
              <w:rPr>
                <w:rFonts w:ascii="Bookman Old Style" w:hAnsi="Bookman Old Style"/>
                <w:b/>
                <w:noProof/>
                <w:sz w:val="16"/>
                <w:szCs w:val="16"/>
              </w:rPr>
              <w:t xml:space="preserve"> Centralino  0982/ 41969 – Sito:www.iispoloamantea.edu.it</w:t>
            </w:r>
          </w:p>
          <w:p w:rsidR="00443DC6" w:rsidRDefault="00443DC6" w:rsidP="00AF1E11">
            <w:pPr>
              <w:spacing w:after="0" w:line="240" w:lineRule="auto"/>
              <w:jc w:val="center"/>
              <w:rPr>
                <w:rFonts w:ascii="Bookman Old Style" w:hAnsi="Bookman Old Style"/>
                <w:b/>
                <w:noProof/>
                <w:sz w:val="16"/>
                <w:szCs w:val="16"/>
                <w:u w:val="single"/>
              </w:rPr>
            </w:pPr>
            <w:r>
              <w:rPr>
                <w:rFonts w:ascii="Bookman Old Style" w:hAnsi="Bookman Old Style"/>
                <w:b/>
                <w:noProof/>
                <w:sz w:val="16"/>
                <w:szCs w:val="16"/>
              </w:rPr>
              <w:t xml:space="preserve">E-mail: </w:t>
            </w:r>
            <w:hyperlink r:id="rId12" w:history="1">
              <w:r>
                <w:rPr>
                  <w:rStyle w:val="Collegamentoipertestuale"/>
                  <w:rFonts w:ascii="Bookman Old Style" w:hAnsi="Bookman Old Style"/>
                  <w:b/>
                  <w:noProof/>
                  <w:sz w:val="16"/>
                </w:rPr>
                <w:t>CSIS014008@istruzione.it</w:t>
              </w:r>
            </w:hyperlink>
          </w:p>
          <w:p w:rsidR="00443DC6" w:rsidRDefault="00443DC6" w:rsidP="00AF1E11">
            <w:pPr>
              <w:spacing w:after="0" w:line="240" w:lineRule="auto"/>
              <w:jc w:val="center"/>
              <w:rPr>
                <w:rFonts w:ascii="Bookman Old Style" w:hAnsi="Bookman Old Style"/>
                <w:b/>
                <w:noProof/>
                <w:sz w:val="16"/>
                <w:szCs w:val="16"/>
              </w:rPr>
            </w:pPr>
            <w:r>
              <w:rPr>
                <w:rFonts w:ascii="Bookman Old Style" w:hAnsi="Bookman Old Style"/>
                <w:b/>
                <w:noProof/>
                <w:sz w:val="16"/>
                <w:szCs w:val="16"/>
              </w:rPr>
              <w:t xml:space="preserve">Posta. Cert.: </w:t>
            </w:r>
            <w:hyperlink r:id="rId13" w:history="1">
              <w:r>
                <w:rPr>
                  <w:rStyle w:val="Collegamentoipertestuale"/>
                  <w:rFonts w:ascii="Bookman Old Style" w:hAnsi="Bookman Old Style"/>
                  <w:b/>
                  <w:noProof/>
                  <w:sz w:val="16"/>
                </w:rPr>
                <w:t>CSIS014008@pec.istruzione.it</w:t>
              </w:r>
            </w:hyperlink>
          </w:p>
          <w:p w:rsidR="00443DC6" w:rsidRDefault="00443DC6" w:rsidP="00AF1E11">
            <w:pPr>
              <w:spacing w:after="0" w:line="240" w:lineRule="auto"/>
              <w:jc w:val="center"/>
              <w:rPr>
                <w:rFonts w:ascii="Times New Roman" w:hAnsi="Times New Roman"/>
                <w:noProof/>
                <w:sz w:val="24"/>
                <w:szCs w:val="24"/>
              </w:rPr>
            </w:pPr>
            <w:r>
              <w:rPr>
                <w:rFonts w:ascii="Bookman Old Style" w:hAnsi="Bookman Old Style"/>
                <w:b/>
                <w:noProof/>
                <w:sz w:val="16"/>
                <w:szCs w:val="16"/>
              </w:rPr>
              <w:t>Codice Fiscale 86002100781</w:t>
            </w:r>
          </w:p>
        </w:tc>
        <w:tc>
          <w:tcPr>
            <w:tcW w:w="1666" w:type="dxa"/>
            <w:tcBorders>
              <w:top w:val="nil"/>
              <w:left w:val="nil"/>
              <w:bottom w:val="single" w:sz="4" w:space="0" w:color="auto"/>
              <w:right w:val="single" w:sz="4" w:space="0" w:color="auto"/>
            </w:tcBorders>
            <w:hideMark/>
          </w:tcPr>
          <w:p w:rsidR="00443DC6" w:rsidRDefault="00443DC6" w:rsidP="00AF1E11">
            <w:pPr>
              <w:spacing w:after="0" w:line="240" w:lineRule="auto"/>
              <w:rPr>
                <w:rFonts w:ascii="Times New Roman" w:hAnsi="Times New Roman"/>
                <w:b/>
                <w:noProof/>
                <w:sz w:val="24"/>
                <w:szCs w:val="24"/>
              </w:rPr>
            </w:pPr>
            <w:r>
              <w:rPr>
                <w:rFonts w:ascii="Times New Roman" w:hAnsi="Times New Roman"/>
                <w:b/>
                <w:noProof/>
                <w:sz w:val="24"/>
                <w:szCs w:val="24"/>
              </w:rPr>
              <w:drawing>
                <wp:inline distT="0" distB="0" distL="0" distR="0">
                  <wp:extent cx="590550" cy="571500"/>
                  <wp:effectExtent l="0" t="0" r="0" b="0"/>
                  <wp:docPr id="1" name="Immagine 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571500"/>
                          </a:xfrm>
                          <a:prstGeom prst="rect">
                            <a:avLst/>
                          </a:prstGeom>
                          <a:noFill/>
                          <a:ln>
                            <a:noFill/>
                          </a:ln>
                        </pic:spPr>
                      </pic:pic>
                    </a:graphicData>
                  </a:graphic>
                </wp:inline>
              </w:drawing>
            </w:r>
          </w:p>
        </w:tc>
      </w:tr>
    </w:tbl>
    <w:p w:rsidR="00443DC6" w:rsidRDefault="00443DC6" w:rsidP="00443DC6"/>
    <w:p w:rsidR="00A8619A" w:rsidRPr="00A8619A" w:rsidRDefault="00A8619A" w:rsidP="00443DC6">
      <w:r w:rsidRPr="00A8619A">
        <w:rPr>
          <w:rFonts w:ascii="Open Sans" w:hAnsi="Open Sans" w:cs="Open Sans"/>
          <w:bCs/>
          <w:color w:val="333333"/>
          <w:sz w:val="20"/>
          <w:szCs w:val="20"/>
        </w:rPr>
        <w:t xml:space="preserve">Prot. n 0006362 IV.2 </w:t>
      </w:r>
      <w:r w:rsidRPr="00A8619A">
        <w:rPr>
          <w:rFonts w:ascii="Open Sans" w:hAnsi="Open Sans" w:cs="Open Sans"/>
          <w:bCs/>
          <w:color w:val="333333"/>
          <w:sz w:val="20"/>
          <w:szCs w:val="20"/>
        </w:rPr>
        <w:tab/>
      </w:r>
      <w:r w:rsidRPr="00A8619A">
        <w:rPr>
          <w:rFonts w:ascii="Open Sans" w:hAnsi="Open Sans" w:cs="Open Sans"/>
          <w:bCs/>
          <w:color w:val="333333"/>
          <w:sz w:val="20"/>
          <w:szCs w:val="20"/>
        </w:rPr>
        <w:tab/>
      </w:r>
      <w:r w:rsidRPr="00A8619A">
        <w:rPr>
          <w:rFonts w:ascii="Open Sans" w:hAnsi="Open Sans" w:cs="Open Sans"/>
          <w:bCs/>
          <w:color w:val="333333"/>
          <w:sz w:val="20"/>
          <w:szCs w:val="20"/>
        </w:rPr>
        <w:tab/>
      </w:r>
      <w:r w:rsidRPr="00A8619A">
        <w:rPr>
          <w:rFonts w:ascii="Open Sans" w:hAnsi="Open Sans" w:cs="Open Sans"/>
          <w:bCs/>
          <w:color w:val="333333"/>
          <w:sz w:val="20"/>
          <w:szCs w:val="20"/>
        </w:rPr>
        <w:tab/>
      </w:r>
      <w:r w:rsidRPr="00A8619A">
        <w:rPr>
          <w:rFonts w:ascii="Open Sans" w:hAnsi="Open Sans" w:cs="Open Sans"/>
          <w:bCs/>
          <w:color w:val="333333"/>
          <w:sz w:val="20"/>
          <w:szCs w:val="20"/>
        </w:rPr>
        <w:tab/>
      </w:r>
      <w:r w:rsidRPr="00A8619A">
        <w:rPr>
          <w:rFonts w:ascii="Open Sans" w:hAnsi="Open Sans" w:cs="Open Sans"/>
          <w:bCs/>
          <w:color w:val="333333"/>
          <w:sz w:val="20"/>
          <w:szCs w:val="20"/>
        </w:rPr>
        <w:tab/>
      </w:r>
      <w:r w:rsidRPr="00A8619A">
        <w:rPr>
          <w:rFonts w:ascii="Open Sans" w:hAnsi="Open Sans" w:cs="Open Sans"/>
          <w:bCs/>
          <w:color w:val="333333"/>
          <w:sz w:val="20"/>
          <w:szCs w:val="20"/>
        </w:rPr>
        <w:tab/>
        <w:t>Amantea, 25 ottobre 2021</w:t>
      </w:r>
    </w:p>
    <w:p w:rsidR="00443DC6" w:rsidRPr="00A46EA4" w:rsidRDefault="00443DC6" w:rsidP="00443DC6">
      <w:pPr>
        <w:spacing w:after="0" w:line="240" w:lineRule="auto"/>
        <w:jc w:val="right"/>
        <w:rPr>
          <w:b/>
          <w:bCs/>
        </w:rPr>
      </w:pPr>
      <w:r w:rsidRPr="00A46EA4">
        <w:rPr>
          <w:b/>
          <w:bCs/>
        </w:rPr>
        <w:t xml:space="preserve">Agli studenti </w:t>
      </w:r>
    </w:p>
    <w:p w:rsidR="00443DC6" w:rsidRDefault="00443DC6" w:rsidP="00443DC6">
      <w:pPr>
        <w:spacing w:after="0" w:line="240" w:lineRule="auto"/>
        <w:jc w:val="right"/>
        <w:rPr>
          <w:b/>
          <w:bCs/>
        </w:rPr>
      </w:pPr>
      <w:r w:rsidRPr="00A46EA4">
        <w:rPr>
          <w:b/>
          <w:bCs/>
        </w:rPr>
        <w:t xml:space="preserve">delle classi </w:t>
      </w:r>
      <w:r>
        <w:rPr>
          <w:b/>
          <w:bCs/>
        </w:rPr>
        <w:t xml:space="preserve">III, </w:t>
      </w:r>
      <w:r w:rsidRPr="00A46EA4">
        <w:rPr>
          <w:b/>
          <w:bCs/>
        </w:rPr>
        <w:t>IV e V</w:t>
      </w:r>
      <w:r>
        <w:rPr>
          <w:b/>
          <w:bCs/>
        </w:rPr>
        <w:t>,</w:t>
      </w:r>
    </w:p>
    <w:p w:rsidR="00443DC6" w:rsidRPr="00A46EA4" w:rsidRDefault="00443DC6" w:rsidP="00443DC6">
      <w:pPr>
        <w:spacing w:after="0" w:line="240" w:lineRule="auto"/>
        <w:jc w:val="right"/>
        <w:rPr>
          <w:b/>
          <w:bCs/>
        </w:rPr>
      </w:pPr>
      <w:r>
        <w:rPr>
          <w:b/>
          <w:bCs/>
        </w:rPr>
        <w:t>a tutti i docenti.</w:t>
      </w:r>
    </w:p>
    <w:p w:rsidR="00443DC6" w:rsidRDefault="00443DC6" w:rsidP="00443DC6">
      <w:pPr>
        <w:spacing w:after="0" w:line="240" w:lineRule="auto"/>
        <w:jc w:val="right"/>
      </w:pPr>
    </w:p>
    <w:p w:rsidR="00443DC6" w:rsidRDefault="00443DC6" w:rsidP="00443DC6">
      <w:pPr>
        <w:spacing w:after="0" w:line="240" w:lineRule="auto"/>
        <w:jc w:val="right"/>
      </w:pPr>
    </w:p>
    <w:p w:rsidR="00443DC6" w:rsidRDefault="00443DC6" w:rsidP="00443DC6">
      <w:pPr>
        <w:spacing w:after="0" w:line="240" w:lineRule="auto"/>
        <w:jc w:val="both"/>
      </w:pPr>
      <w:r w:rsidRPr="00A8619A">
        <w:t xml:space="preserve">OGGETTO: </w:t>
      </w:r>
      <w:r>
        <w:rPr>
          <w:b/>
          <w:bCs/>
        </w:rPr>
        <w:t>Olimpiadi di Fisica</w:t>
      </w:r>
      <w:r w:rsidR="00A8619A">
        <w:rPr>
          <w:b/>
          <w:bCs/>
        </w:rPr>
        <w:t xml:space="preserve"> as 2021/22</w:t>
      </w:r>
    </w:p>
    <w:p w:rsidR="00443DC6" w:rsidRDefault="00443DC6" w:rsidP="00443DC6">
      <w:pPr>
        <w:spacing w:after="0" w:line="240" w:lineRule="auto"/>
        <w:jc w:val="both"/>
      </w:pPr>
    </w:p>
    <w:p w:rsidR="00443DC6" w:rsidRDefault="00443DC6" w:rsidP="00443DC6">
      <w:pPr>
        <w:spacing w:after="0" w:line="240" w:lineRule="auto"/>
        <w:jc w:val="both"/>
      </w:pPr>
    </w:p>
    <w:p w:rsidR="00443DC6" w:rsidRDefault="00443DC6" w:rsidP="00443DC6">
      <w:pPr>
        <w:spacing w:after="0" w:line="240" w:lineRule="auto"/>
        <w:jc w:val="both"/>
      </w:pPr>
      <w:r>
        <w:t xml:space="preserve">Cari studenti e cari colleghi, </w:t>
      </w:r>
    </w:p>
    <w:p w:rsidR="00443DC6" w:rsidRPr="00443DC6" w:rsidRDefault="00443DC6" w:rsidP="00443DC6">
      <w:pPr>
        <w:spacing w:after="0" w:line="240" w:lineRule="auto"/>
        <w:jc w:val="both"/>
        <w:rPr>
          <w:rFonts w:asciiTheme="minorHAnsi" w:hAnsiTheme="minorHAnsi" w:cstheme="minorHAnsi"/>
        </w:rPr>
      </w:pPr>
      <w:r>
        <w:rPr>
          <w:rFonts w:asciiTheme="minorHAnsi" w:hAnsiTheme="minorHAnsi" w:cstheme="minorHAnsi"/>
          <w:color w:val="22262A"/>
          <w:shd w:val="clear" w:color="auto" w:fill="FFFFFF"/>
        </w:rPr>
        <w:t>l</w:t>
      </w:r>
      <w:r w:rsidRPr="00443DC6">
        <w:rPr>
          <w:rFonts w:asciiTheme="minorHAnsi" w:hAnsiTheme="minorHAnsi" w:cstheme="minorHAnsi"/>
          <w:color w:val="22262A"/>
          <w:shd w:val="clear" w:color="auto" w:fill="FFFFFF"/>
        </w:rPr>
        <w:t>'Associazione per l'Insegnamento della Fisica, su mandato del Ministero dell'Istruzione, Direzione generale per gli ordinamenti scolastici e la valutazione del sistema nazionale di istruzione, progetta ed organizza la </w:t>
      </w:r>
      <w:r w:rsidRPr="00443DC6">
        <w:rPr>
          <w:rStyle w:val="Enfasigrassetto"/>
          <w:rFonts w:asciiTheme="minorHAnsi" w:hAnsiTheme="minorHAnsi" w:cstheme="minorHAnsi"/>
          <w:color w:val="22262A"/>
          <w:shd w:val="clear" w:color="auto" w:fill="FFFFFF"/>
        </w:rPr>
        <w:t>XXXVI edizione delle Olimpiadi di Fisica</w:t>
      </w:r>
      <w:r w:rsidRPr="00443DC6">
        <w:rPr>
          <w:rFonts w:asciiTheme="minorHAnsi" w:hAnsiTheme="minorHAnsi" w:cstheme="minorHAnsi"/>
          <w:color w:val="22262A"/>
          <w:shd w:val="clear" w:color="auto" w:fill="FFFFFF"/>
        </w:rPr>
        <w:t xml:space="preserve">. Le Olimpiadi di Fisica sono una competizione a carattere individuale rivolta a studenti della Scuola Secondaria </w:t>
      </w:r>
      <w:r>
        <w:rPr>
          <w:rFonts w:asciiTheme="minorHAnsi" w:hAnsiTheme="minorHAnsi" w:cstheme="minorHAnsi"/>
          <w:color w:val="22262A"/>
          <w:shd w:val="clear" w:color="auto" w:fill="FFFFFF"/>
        </w:rPr>
        <w:t>di Secondo Grado</w:t>
      </w:r>
      <w:r w:rsidRPr="00443DC6">
        <w:rPr>
          <w:rFonts w:asciiTheme="minorHAnsi" w:hAnsiTheme="minorHAnsi" w:cstheme="minorHAnsi"/>
          <w:color w:val="22262A"/>
          <w:shd w:val="clear" w:color="auto" w:fill="FFFFFF"/>
        </w:rPr>
        <w:t xml:space="preserve"> che mostrano particolare inclinazione per gli studi scientifici</w:t>
      </w:r>
      <w:r>
        <w:rPr>
          <w:rFonts w:asciiTheme="minorHAnsi" w:hAnsiTheme="minorHAnsi" w:cstheme="minorHAnsi"/>
          <w:color w:val="22262A"/>
          <w:shd w:val="clear" w:color="auto" w:fill="FFFFFF"/>
        </w:rPr>
        <w:t xml:space="preserve"> e </w:t>
      </w:r>
      <w:r w:rsidRPr="00443DC6">
        <w:rPr>
          <w:rFonts w:asciiTheme="minorHAnsi" w:hAnsiTheme="minorHAnsi" w:cstheme="minorHAnsi"/>
          <w:color w:val="22262A"/>
          <w:shd w:val="clear" w:color="auto" w:fill="FFFFFF"/>
        </w:rPr>
        <w:t xml:space="preserve">si sviluppano con tre prove che si succedono nel corso dell’anno scolastico. </w:t>
      </w:r>
    </w:p>
    <w:p w:rsidR="00443DC6" w:rsidRDefault="00443DC6" w:rsidP="00443DC6">
      <w:pPr>
        <w:pStyle w:val="NormaleWeb"/>
        <w:shd w:val="clear" w:color="auto" w:fill="FFFFFF"/>
        <w:spacing w:before="0" w:beforeAutospacing="0" w:after="0" w:afterAutospacing="0"/>
        <w:jc w:val="both"/>
        <w:rPr>
          <w:rFonts w:asciiTheme="minorHAnsi" w:hAnsiTheme="minorHAnsi" w:cstheme="minorHAnsi"/>
          <w:color w:val="0000FF"/>
          <w:sz w:val="22"/>
          <w:szCs w:val="22"/>
        </w:rPr>
      </w:pPr>
    </w:p>
    <w:p w:rsidR="00443DC6" w:rsidRDefault="00443DC6" w:rsidP="00443DC6">
      <w:pPr>
        <w:pStyle w:val="NormaleWeb"/>
        <w:shd w:val="clear" w:color="auto" w:fill="FFFFFF"/>
        <w:spacing w:before="0" w:beforeAutospacing="0" w:after="0" w:afterAutospacing="0"/>
        <w:jc w:val="both"/>
        <w:rPr>
          <w:rFonts w:asciiTheme="minorHAnsi" w:hAnsiTheme="minorHAnsi" w:cstheme="minorHAnsi"/>
          <w:color w:val="22262A"/>
          <w:sz w:val="22"/>
          <w:szCs w:val="22"/>
        </w:rPr>
      </w:pPr>
      <w:r w:rsidRPr="00443DC6">
        <w:rPr>
          <w:rFonts w:asciiTheme="minorHAnsi" w:hAnsiTheme="minorHAnsi" w:cstheme="minorHAnsi"/>
          <w:color w:val="0000FF"/>
          <w:sz w:val="22"/>
          <w:szCs w:val="22"/>
        </w:rPr>
        <w:t>Gara di Istituto</w:t>
      </w:r>
    </w:p>
    <w:p w:rsidR="00443DC6" w:rsidRDefault="00443DC6" w:rsidP="00443DC6">
      <w:pPr>
        <w:pStyle w:val="NormaleWeb"/>
        <w:shd w:val="clear" w:color="auto" w:fill="FFFFFF"/>
        <w:spacing w:before="0" w:beforeAutospacing="0"/>
        <w:jc w:val="both"/>
        <w:rPr>
          <w:rFonts w:asciiTheme="minorHAnsi" w:hAnsiTheme="minorHAnsi" w:cstheme="minorHAnsi"/>
          <w:color w:val="22262A"/>
          <w:sz w:val="22"/>
          <w:szCs w:val="22"/>
        </w:rPr>
      </w:pPr>
      <w:r w:rsidRPr="00443DC6">
        <w:rPr>
          <w:rFonts w:asciiTheme="minorHAnsi" w:hAnsiTheme="minorHAnsi" w:cstheme="minorHAnsi"/>
          <w:color w:val="22262A"/>
          <w:sz w:val="22"/>
          <w:szCs w:val="22"/>
        </w:rPr>
        <w:t xml:space="preserve">Si svolge </w:t>
      </w:r>
      <w:r w:rsidRPr="00443DC6">
        <w:rPr>
          <w:rStyle w:val="Enfasigrassetto"/>
          <w:rFonts w:asciiTheme="minorHAnsi" w:hAnsiTheme="minorHAnsi" w:cstheme="minorHAnsi"/>
          <w:color w:val="22262A"/>
          <w:sz w:val="22"/>
          <w:szCs w:val="22"/>
        </w:rPr>
        <w:t>mercoledì 15 dicembre 2021 </w:t>
      </w:r>
      <w:r w:rsidRPr="00443DC6">
        <w:rPr>
          <w:rFonts w:asciiTheme="minorHAnsi" w:hAnsiTheme="minorHAnsi" w:cstheme="minorHAnsi"/>
          <w:color w:val="22262A"/>
          <w:sz w:val="22"/>
          <w:szCs w:val="22"/>
        </w:rPr>
        <w:t>in ogni scuola regolarmente iscritta. Il Gruppo Olimpiadi dell’AIF preparerà la prova composta da 40 item a risposta multipla.</w:t>
      </w:r>
      <w:r w:rsidR="00A8619A">
        <w:rPr>
          <w:rFonts w:asciiTheme="minorHAnsi" w:hAnsiTheme="minorHAnsi" w:cstheme="minorHAnsi"/>
          <w:color w:val="22262A"/>
          <w:sz w:val="22"/>
          <w:szCs w:val="22"/>
        </w:rPr>
        <w:t xml:space="preserve"> </w:t>
      </w:r>
      <w:r w:rsidRPr="00443DC6">
        <w:rPr>
          <w:rFonts w:asciiTheme="minorHAnsi" w:hAnsiTheme="minorHAnsi" w:cstheme="minorHAnsi"/>
          <w:color w:val="22262A"/>
          <w:sz w:val="22"/>
          <w:szCs w:val="22"/>
        </w:rPr>
        <w:t>È organizzata in modalità on line sotto la supervisione del docente di istituto responsabile delle Olimpiadi. Ogni studente dovrà collegarsi alla piattaforma </w:t>
      </w:r>
      <w:r w:rsidRPr="00443DC6">
        <w:rPr>
          <w:rStyle w:val="Enfasicorsivo"/>
          <w:rFonts w:asciiTheme="minorHAnsi" w:hAnsiTheme="minorHAnsi" w:cstheme="minorHAnsi"/>
          <w:color w:val="22262A"/>
          <w:sz w:val="22"/>
          <w:szCs w:val="22"/>
        </w:rPr>
        <w:t>myOlifis</w:t>
      </w:r>
      <w:r w:rsidRPr="00443DC6">
        <w:rPr>
          <w:rFonts w:asciiTheme="minorHAnsi" w:hAnsiTheme="minorHAnsi" w:cstheme="minorHAnsi"/>
          <w:color w:val="22262A"/>
          <w:sz w:val="22"/>
          <w:szCs w:val="22"/>
        </w:rPr>
        <w:t> attraversoun </w:t>
      </w:r>
      <w:r w:rsidRPr="00443DC6">
        <w:rPr>
          <w:rStyle w:val="Enfasicorsivo"/>
          <w:rFonts w:asciiTheme="minorHAnsi" w:hAnsiTheme="minorHAnsi" w:cstheme="minorHAnsi"/>
          <w:color w:val="22262A"/>
          <w:sz w:val="22"/>
          <w:szCs w:val="22"/>
        </w:rPr>
        <w:t>device</w:t>
      </w:r>
      <w:r w:rsidRPr="00443DC6">
        <w:rPr>
          <w:rFonts w:asciiTheme="minorHAnsi" w:hAnsiTheme="minorHAnsi" w:cstheme="minorHAnsi"/>
          <w:color w:val="22262A"/>
          <w:sz w:val="22"/>
          <w:szCs w:val="22"/>
        </w:rPr>
        <w:t> (computer, tablet o cellulare) connesso alla rete; al perfezionamento dell’iscrizione la scuola riceverà le istruzioni necessarie per l’utilizzo della piattaforma e lo svolgimento della prova. Sarà possibile per ogni studente svolgere la prova a scuola o al proprio domicilio. La correzione della prova sarà effettuata in automatico dalla piattaforma. La scuola dovrà assicurare la correttezza dello svolgimento della prova e l’assenza di </w:t>
      </w:r>
      <w:r w:rsidRPr="00443DC6">
        <w:rPr>
          <w:rStyle w:val="Enfasicorsivo"/>
          <w:rFonts w:asciiTheme="minorHAnsi" w:hAnsiTheme="minorHAnsi" w:cstheme="minorHAnsi"/>
          <w:color w:val="22262A"/>
          <w:sz w:val="22"/>
          <w:szCs w:val="22"/>
        </w:rPr>
        <w:t>cheating</w:t>
      </w:r>
      <w:r w:rsidRPr="00443DC6">
        <w:rPr>
          <w:rFonts w:asciiTheme="minorHAnsi" w:hAnsiTheme="minorHAnsi" w:cstheme="minorHAnsi"/>
          <w:color w:val="22262A"/>
          <w:sz w:val="22"/>
          <w:szCs w:val="22"/>
        </w:rPr>
        <w:t> e rimane nella sua responsabilità individuare e segnalare i cinque studenti vincitori (più una riserva) per la gara successiva. Non è prevista una prova di recupero.</w:t>
      </w:r>
    </w:p>
    <w:p w:rsidR="00443DC6" w:rsidRPr="00443DC6" w:rsidRDefault="00443DC6" w:rsidP="00443DC6">
      <w:pPr>
        <w:pStyle w:val="NormaleWeb"/>
        <w:shd w:val="clear" w:color="auto" w:fill="FFFFFF"/>
        <w:spacing w:before="0" w:beforeAutospacing="0" w:after="0" w:afterAutospacing="0"/>
        <w:jc w:val="both"/>
        <w:rPr>
          <w:rFonts w:asciiTheme="minorHAnsi" w:hAnsiTheme="minorHAnsi" w:cstheme="minorHAnsi"/>
          <w:color w:val="22262A"/>
          <w:sz w:val="22"/>
          <w:szCs w:val="22"/>
        </w:rPr>
      </w:pPr>
      <w:r w:rsidRPr="00443DC6">
        <w:rPr>
          <w:rFonts w:asciiTheme="minorHAnsi" w:hAnsiTheme="minorHAnsi" w:cstheme="minorHAnsi"/>
          <w:color w:val="0000FF"/>
          <w:sz w:val="22"/>
          <w:szCs w:val="22"/>
        </w:rPr>
        <w:t>Gara Locale</w:t>
      </w:r>
    </w:p>
    <w:p w:rsidR="00443DC6" w:rsidRPr="00443DC6" w:rsidRDefault="00443DC6" w:rsidP="00443DC6">
      <w:pPr>
        <w:pStyle w:val="NormaleWeb"/>
        <w:shd w:val="clear" w:color="auto" w:fill="FFFFFF"/>
        <w:spacing w:before="0" w:beforeAutospacing="0" w:after="0" w:afterAutospacing="0"/>
        <w:jc w:val="both"/>
        <w:rPr>
          <w:rFonts w:asciiTheme="minorHAnsi" w:hAnsiTheme="minorHAnsi" w:cstheme="minorHAnsi"/>
          <w:color w:val="22262A"/>
          <w:sz w:val="22"/>
          <w:szCs w:val="22"/>
        </w:rPr>
      </w:pPr>
      <w:r w:rsidRPr="00443DC6">
        <w:rPr>
          <w:rFonts w:asciiTheme="minorHAnsi" w:hAnsiTheme="minorHAnsi" w:cstheme="minorHAnsi"/>
          <w:color w:val="22262A"/>
          <w:sz w:val="22"/>
          <w:szCs w:val="22"/>
        </w:rPr>
        <w:t>La data prevista è </w:t>
      </w:r>
      <w:r w:rsidRPr="00443DC6">
        <w:rPr>
          <w:rStyle w:val="Enfasigrassetto"/>
          <w:rFonts w:asciiTheme="minorHAnsi" w:hAnsiTheme="minorHAnsi" w:cstheme="minorHAnsi"/>
          <w:color w:val="22262A"/>
          <w:sz w:val="22"/>
          <w:szCs w:val="22"/>
        </w:rPr>
        <w:t>lunedì 21 febbraio 2022</w:t>
      </w:r>
      <w:r w:rsidRPr="00443DC6">
        <w:rPr>
          <w:rFonts w:asciiTheme="minorHAnsi" w:hAnsiTheme="minorHAnsi" w:cstheme="minorHAnsi"/>
          <w:color w:val="22262A"/>
          <w:sz w:val="22"/>
          <w:szCs w:val="22"/>
        </w:rPr>
        <w:t>. Ogni scuola viene associata su base geografica ad uno dei 62 poli. Ogni polo è coordinato da un docente responsabile individuato dal Gruppo Olimpiadi dell’AIF, il quale ha la responsabilità del coordinamento della prova nelle scuole del suo polo e della correzione degli elaborati avvalendosi di una commissione di docenti da lui individuati. La prova, uguale per tutti i poli e preparata dal Gruppo Olimpiadi dell’AIF, è divisa in due parti, la prima composta da dieci quesiti a risposta singola aperta e la seconda da tre problemi semplici articolati in più domande. Non è prevista una prova di recupero.</w:t>
      </w:r>
    </w:p>
    <w:p w:rsidR="00443DC6" w:rsidRPr="00443DC6" w:rsidRDefault="00443DC6" w:rsidP="00443DC6">
      <w:pPr>
        <w:pStyle w:val="NormaleWeb"/>
        <w:shd w:val="clear" w:color="auto" w:fill="FFFFFF"/>
        <w:spacing w:before="0" w:beforeAutospacing="0" w:after="0" w:afterAutospacing="0"/>
        <w:jc w:val="both"/>
        <w:rPr>
          <w:rFonts w:asciiTheme="minorHAnsi" w:hAnsiTheme="minorHAnsi" w:cstheme="minorHAnsi"/>
          <w:color w:val="22262A"/>
          <w:sz w:val="22"/>
          <w:szCs w:val="22"/>
        </w:rPr>
      </w:pPr>
      <w:r w:rsidRPr="00443DC6">
        <w:rPr>
          <w:rFonts w:asciiTheme="minorHAnsi" w:hAnsiTheme="minorHAnsi" w:cstheme="minorHAnsi"/>
          <w:color w:val="22262A"/>
          <w:sz w:val="22"/>
          <w:szCs w:val="22"/>
        </w:rPr>
        <w:t xml:space="preserve">Gli studenti svolgeranno la gara nelle loro scuole, con l’assistenza del docente responsabile di istituto che garantisce la regolarità della prova. L’ambiente dove si trovano gli studenti deve essere connesso in video conferenza con il responsabile di polo. La prova è svolta on line. Ogni studente si collega alla </w:t>
      </w:r>
      <w:r w:rsidRPr="00443DC6">
        <w:rPr>
          <w:rFonts w:asciiTheme="minorHAnsi" w:hAnsiTheme="minorHAnsi" w:cstheme="minorHAnsi"/>
          <w:color w:val="22262A"/>
          <w:sz w:val="22"/>
          <w:szCs w:val="22"/>
        </w:rPr>
        <w:lastRenderedPageBreak/>
        <w:t>piattaforma </w:t>
      </w:r>
      <w:r w:rsidRPr="00443DC6">
        <w:rPr>
          <w:rStyle w:val="Enfasicorsivo"/>
          <w:rFonts w:asciiTheme="minorHAnsi" w:hAnsiTheme="minorHAnsi" w:cstheme="minorHAnsi"/>
          <w:color w:val="22262A"/>
          <w:sz w:val="22"/>
          <w:szCs w:val="22"/>
        </w:rPr>
        <w:t>myOlifis</w:t>
      </w:r>
      <w:r w:rsidRPr="00443DC6">
        <w:rPr>
          <w:rFonts w:asciiTheme="minorHAnsi" w:hAnsiTheme="minorHAnsi" w:cstheme="minorHAnsi"/>
          <w:color w:val="22262A"/>
          <w:sz w:val="22"/>
          <w:szCs w:val="22"/>
        </w:rPr>
        <w:t> attraverso un computer connesso alla rete; al perfezionamento dell’iscrizione la scuola riceverà le istruzioni necessarie per l’utilizzo della piattaforma e lo svolgimento della prova. Gli elaborati degli studenti verranno fatti pervenire al docente responsabile di polo per la successiva correzione e valutazione.</w:t>
      </w:r>
    </w:p>
    <w:p w:rsidR="00443DC6" w:rsidRPr="00443DC6" w:rsidRDefault="00443DC6" w:rsidP="00443DC6">
      <w:pPr>
        <w:pStyle w:val="NormaleWeb"/>
        <w:shd w:val="clear" w:color="auto" w:fill="FFFFFF"/>
        <w:spacing w:before="0" w:beforeAutospacing="0"/>
        <w:jc w:val="both"/>
        <w:rPr>
          <w:rFonts w:asciiTheme="minorHAnsi" w:hAnsiTheme="minorHAnsi" w:cstheme="minorHAnsi"/>
          <w:color w:val="22262A"/>
          <w:sz w:val="22"/>
          <w:szCs w:val="22"/>
        </w:rPr>
      </w:pPr>
      <w:r w:rsidRPr="00443DC6">
        <w:rPr>
          <w:rFonts w:asciiTheme="minorHAnsi" w:hAnsiTheme="minorHAnsi" w:cstheme="minorHAnsi"/>
          <w:color w:val="22262A"/>
          <w:sz w:val="22"/>
          <w:szCs w:val="22"/>
        </w:rPr>
        <w:t>Se in una scuola non si potrà svolgere la prova, gli studenti di quella scuola verranno esclusi dalla competizione. In caso di </w:t>
      </w:r>
      <w:r w:rsidRPr="00443DC6">
        <w:rPr>
          <w:rStyle w:val="Enfasicorsivo"/>
          <w:rFonts w:asciiTheme="minorHAnsi" w:hAnsiTheme="minorHAnsi" w:cstheme="minorHAnsi"/>
          <w:color w:val="22262A"/>
          <w:sz w:val="22"/>
          <w:szCs w:val="22"/>
        </w:rPr>
        <w:t>lockdown</w:t>
      </w:r>
      <w:r w:rsidRPr="00443DC6">
        <w:rPr>
          <w:rFonts w:asciiTheme="minorHAnsi" w:hAnsiTheme="minorHAnsi" w:cstheme="minorHAnsi"/>
          <w:color w:val="22262A"/>
          <w:sz w:val="22"/>
          <w:szCs w:val="22"/>
        </w:rPr>
        <w:t> nazionale che impedisca lo svolgimento della prova, gli studenti da ammettere alla gara nazionale verranno scelti sulla base del punteggio conseguito nella gara di primo livello e del curriculum olimpico, inteso come partecipazione e risultati alle edizioni precedenti delle Olimpiadi di Fisica.</w:t>
      </w:r>
    </w:p>
    <w:p w:rsidR="00443DC6" w:rsidRPr="00443DC6" w:rsidRDefault="00443DC6" w:rsidP="000A5388">
      <w:pPr>
        <w:pStyle w:val="NormaleWeb"/>
        <w:shd w:val="clear" w:color="auto" w:fill="FFFFFF"/>
        <w:spacing w:before="0" w:beforeAutospacing="0" w:after="0" w:afterAutospacing="0"/>
        <w:jc w:val="both"/>
        <w:rPr>
          <w:rFonts w:asciiTheme="minorHAnsi" w:hAnsiTheme="minorHAnsi" w:cstheme="minorHAnsi"/>
          <w:color w:val="22262A"/>
          <w:sz w:val="22"/>
          <w:szCs w:val="22"/>
        </w:rPr>
      </w:pPr>
      <w:r w:rsidRPr="00443DC6">
        <w:rPr>
          <w:rFonts w:asciiTheme="minorHAnsi" w:hAnsiTheme="minorHAnsi" w:cstheme="minorHAnsi"/>
          <w:color w:val="0000FF"/>
          <w:sz w:val="22"/>
          <w:szCs w:val="22"/>
        </w:rPr>
        <w:t>Gara Nazionale</w:t>
      </w:r>
    </w:p>
    <w:p w:rsidR="00443DC6" w:rsidRPr="00443DC6" w:rsidRDefault="00443DC6" w:rsidP="000A5388">
      <w:pPr>
        <w:pStyle w:val="NormaleWeb"/>
        <w:shd w:val="clear" w:color="auto" w:fill="FFFFFF"/>
        <w:spacing w:before="0" w:beforeAutospacing="0" w:after="0" w:afterAutospacing="0"/>
        <w:jc w:val="both"/>
        <w:rPr>
          <w:rFonts w:asciiTheme="minorHAnsi" w:hAnsiTheme="minorHAnsi" w:cstheme="minorHAnsi"/>
          <w:color w:val="22262A"/>
          <w:sz w:val="22"/>
          <w:szCs w:val="22"/>
        </w:rPr>
      </w:pPr>
      <w:r w:rsidRPr="00443DC6">
        <w:rPr>
          <w:rFonts w:asciiTheme="minorHAnsi" w:hAnsiTheme="minorHAnsi" w:cstheme="minorHAnsi"/>
          <w:color w:val="22262A"/>
          <w:sz w:val="22"/>
          <w:szCs w:val="22"/>
        </w:rPr>
        <w:t>La gara nazionale si svolgerà in presenza a Senigallia presso il Liceo Scientifico “Medi” </w:t>
      </w:r>
      <w:r w:rsidRPr="00443DC6">
        <w:rPr>
          <w:rStyle w:val="Enfasigrassetto"/>
          <w:rFonts w:asciiTheme="minorHAnsi" w:hAnsiTheme="minorHAnsi" w:cstheme="minorHAnsi"/>
          <w:color w:val="22262A"/>
          <w:sz w:val="22"/>
          <w:szCs w:val="22"/>
        </w:rPr>
        <w:t>da mercoledì 20 aprile a sabato 23 aprile 2022</w:t>
      </w:r>
      <w:r w:rsidRPr="00443DC6">
        <w:rPr>
          <w:rFonts w:asciiTheme="minorHAnsi" w:hAnsiTheme="minorHAnsi" w:cstheme="minorHAnsi"/>
          <w:color w:val="22262A"/>
          <w:sz w:val="22"/>
          <w:szCs w:val="22"/>
        </w:rPr>
        <w:t>. Il Gruppo Olimpiadi dell’AIF preparerà la prova costituita da due parti, la prova teorica formata da tre problemi e la prova sperimentale costituita da un problema.</w:t>
      </w:r>
    </w:p>
    <w:p w:rsidR="00443DC6" w:rsidRPr="00443DC6" w:rsidRDefault="00443DC6" w:rsidP="00443DC6">
      <w:pPr>
        <w:pStyle w:val="NormaleWeb"/>
        <w:shd w:val="clear" w:color="auto" w:fill="FFFFFF"/>
        <w:spacing w:before="0" w:beforeAutospacing="0"/>
        <w:jc w:val="both"/>
        <w:rPr>
          <w:rFonts w:asciiTheme="minorHAnsi" w:hAnsiTheme="minorHAnsi" w:cstheme="minorHAnsi"/>
          <w:color w:val="22262A"/>
          <w:sz w:val="22"/>
          <w:szCs w:val="22"/>
        </w:rPr>
      </w:pPr>
      <w:r w:rsidRPr="00443DC6">
        <w:rPr>
          <w:rFonts w:asciiTheme="minorHAnsi" w:hAnsiTheme="minorHAnsi" w:cstheme="minorHAnsi"/>
          <w:color w:val="22262A"/>
          <w:sz w:val="22"/>
          <w:szCs w:val="22"/>
        </w:rPr>
        <w:t>Alla gara saranno invitati 100 studenti: i migliori 55 vincitori di polo e i migliori 45 studenti della graduatoria generale. Gli studenti che non potranno raggiungere la sede della gara verranno esclusi. Nel caso in cui la situazione epidemiologica da SARS-CoV-2 non permetterà lo svolgimento in presenza della gara, tutti gli studenti svolgeranno la prova on line presso la propria scuola sotto la responsabilità e sorveglianza del docente responsabile di istituto e in video conferenza con il comitato organizzatore. In tale evenienza verrà spedito ad ogni studente il kit per la prova sperimentale e gli elaborati degli studenti verranno fatti pervenire alla commissione nazionale per la successiva correzione e valutazione.</w:t>
      </w:r>
    </w:p>
    <w:p w:rsidR="00443DC6" w:rsidRDefault="000A5388" w:rsidP="000A5388">
      <w:pPr>
        <w:spacing w:after="0" w:line="240" w:lineRule="auto"/>
        <w:jc w:val="both"/>
      </w:pPr>
      <w:r>
        <w:t xml:space="preserve">Gli studenti </w:t>
      </w:r>
      <w:r w:rsidR="002A5E76">
        <w:t xml:space="preserve">interessati </w:t>
      </w:r>
      <w:r>
        <w:t xml:space="preserve">devono comunicare la loro volontà di partecipare entro e non oltre il </w:t>
      </w:r>
      <w:r w:rsidRPr="002A5E76">
        <w:rPr>
          <w:b/>
          <w:bCs/>
        </w:rPr>
        <w:t>30 Novembre 2021</w:t>
      </w:r>
      <w:r>
        <w:t xml:space="preserve"> all’indirizzo di posta elettronica: </w:t>
      </w:r>
      <w:hyperlink r:id="rId15" w:history="1">
        <w:r w:rsidR="002A5E76" w:rsidRPr="00A8619A">
          <w:rPr>
            <w:rStyle w:val="Collegamentoipertestuale"/>
          </w:rPr>
          <w:t>alfonsina.arcuri@iispoloamantea.edu.it</w:t>
        </w:r>
      </w:hyperlink>
      <w:r w:rsidR="002A5E76">
        <w:t>.</w:t>
      </w:r>
    </w:p>
    <w:p w:rsidR="00443DC6" w:rsidRDefault="00443DC6" w:rsidP="00443DC6">
      <w:pPr>
        <w:spacing w:after="0"/>
        <w:jc w:val="right"/>
      </w:pPr>
    </w:p>
    <w:p w:rsidR="002A5E76" w:rsidRDefault="002A5E76" w:rsidP="002A5E76">
      <w:pPr>
        <w:spacing w:after="0"/>
      </w:pPr>
    </w:p>
    <w:p w:rsidR="002A5E76" w:rsidRDefault="002A5E76" w:rsidP="002A5E76">
      <w:pPr>
        <w:spacing w:after="0"/>
      </w:pPr>
    </w:p>
    <w:p w:rsidR="002A5E76" w:rsidRDefault="002A5E76" w:rsidP="002A5E76">
      <w:pPr>
        <w:spacing w:after="0"/>
      </w:pPr>
      <w:r>
        <w:t xml:space="preserve">La Docente Responsabile per l’Istituto                                                                                   </w:t>
      </w:r>
    </w:p>
    <w:p w:rsidR="00A8619A" w:rsidRDefault="002A5E76" w:rsidP="00A8619A">
      <w:pPr>
        <w:widowControl w:val="0"/>
        <w:tabs>
          <w:tab w:val="left" w:pos="0"/>
        </w:tabs>
        <w:autoSpaceDE w:val="0"/>
        <w:autoSpaceDN w:val="0"/>
        <w:ind w:left="142" w:hanging="142"/>
        <w:rPr>
          <w:i/>
          <w:iCs/>
        </w:rPr>
      </w:pPr>
      <w:r w:rsidRPr="003F56A0">
        <w:rPr>
          <w:i/>
          <w:iCs/>
        </w:rPr>
        <w:t xml:space="preserve">Prof.ssa </w:t>
      </w:r>
      <w:r>
        <w:rPr>
          <w:i/>
          <w:iCs/>
        </w:rPr>
        <w:t xml:space="preserve">Alfonsina Arcuri                                                                                              </w:t>
      </w:r>
    </w:p>
    <w:p w:rsidR="00A8619A" w:rsidRDefault="00A8619A" w:rsidP="00A8619A">
      <w:pPr>
        <w:widowControl w:val="0"/>
        <w:tabs>
          <w:tab w:val="left" w:pos="0"/>
        </w:tabs>
        <w:autoSpaceDE w:val="0"/>
        <w:autoSpaceDN w:val="0"/>
        <w:ind w:left="142" w:hanging="142"/>
        <w:jc w:val="right"/>
        <w:rPr>
          <w:i/>
          <w:iCs/>
        </w:rPr>
      </w:pPr>
    </w:p>
    <w:p w:rsidR="00A8619A" w:rsidRPr="00A8619A" w:rsidRDefault="002A5E76" w:rsidP="00A8619A">
      <w:pPr>
        <w:widowControl w:val="0"/>
        <w:tabs>
          <w:tab w:val="left" w:pos="0"/>
        </w:tabs>
        <w:autoSpaceDE w:val="0"/>
        <w:autoSpaceDN w:val="0"/>
        <w:spacing w:after="0" w:line="240" w:lineRule="auto"/>
        <w:ind w:left="142" w:hanging="142"/>
        <w:jc w:val="right"/>
        <w:rPr>
          <w:rFonts w:asciiTheme="minorHAnsi" w:eastAsia="Verdana" w:hAnsiTheme="minorHAnsi" w:cstheme="minorHAnsi"/>
          <w:b/>
          <w:lang w:bidi="it-IT"/>
        </w:rPr>
      </w:pPr>
      <w:r>
        <w:rPr>
          <w:i/>
          <w:iCs/>
        </w:rPr>
        <w:t xml:space="preserve"> </w:t>
      </w:r>
      <w:r w:rsidR="00A8619A" w:rsidRPr="00A8619A">
        <w:rPr>
          <w:rFonts w:asciiTheme="minorHAnsi" w:eastAsia="Verdana" w:hAnsiTheme="minorHAnsi" w:cstheme="minorHAnsi"/>
          <w:b/>
          <w:lang w:bidi="it-IT"/>
        </w:rPr>
        <w:t>La  Dirigente scolastica</w:t>
      </w:r>
    </w:p>
    <w:p w:rsidR="00A8619A" w:rsidRPr="00A8619A" w:rsidRDefault="00A8619A" w:rsidP="00A8619A">
      <w:pPr>
        <w:widowControl w:val="0"/>
        <w:tabs>
          <w:tab w:val="left" w:pos="0"/>
        </w:tabs>
        <w:autoSpaceDE w:val="0"/>
        <w:autoSpaceDN w:val="0"/>
        <w:spacing w:after="0" w:line="1" w:lineRule="exact"/>
        <w:ind w:left="142" w:hanging="142"/>
        <w:jc w:val="right"/>
        <w:rPr>
          <w:rFonts w:asciiTheme="minorHAnsi" w:hAnsiTheme="minorHAnsi" w:cstheme="minorHAnsi"/>
          <w:lang w:bidi="it-IT"/>
        </w:rPr>
      </w:pPr>
    </w:p>
    <w:p w:rsidR="00A8619A" w:rsidRPr="00A8619A" w:rsidRDefault="00A8619A" w:rsidP="00A8619A">
      <w:pPr>
        <w:widowControl w:val="0"/>
        <w:tabs>
          <w:tab w:val="left" w:pos="0"/>
        </w:tabs>
        <w:autoSpaceDE w:val="0"/>
        <w:autoSpaceDN w:val="0"/>
        <w:spacing w:after="0" w:line="240" w:lineRule="auto"/>
        <w:ind w:left="142" w:hanging="142"/>
        <w:jc w:val="right"/>
        <w:rPr>
          <w:rFonts w:asciiTheme="minorHAnsi" w:eastAsia="Verdana" w:hAnsiTheme="minorHAnsi" w:cstheme="minorHAnsi"/>
          <w:lang w:bidi="it-IT"/>
        </w:rPr>
      </w:pPr>
      <w:r w:rsidRPr="00A8619A">
        <w:rPr>
          <w:rFonts w:asciiTheme="minorHAnsi" w:eastAsia="Verdana" w:hAnsiTheme="minorHAnsi" w:cstheme="minorHAnsi"/>
          <w:lang w:bidi="it-IT"/>
        </w:rPr>
        <w:t>Prof.ssa  Angela De Carlo</w:t>
      </w:r>
    </w:p>
    <w:p w:rsidR="00A8619A" w:rsidRPr="00A8619A" w:rsidRDefault="00A8619A" w:rsidP="00A8619A">
      <w:pPr>
        <w:widowControl w:val="0"/>
        <w:tabs>
          <w:tab w:val="left" w:pos="0"/>
        </w:tabs>
        <w:autoSpaceDE w:val="0"/>
        <w:autoSpaceDN w:val="0"/>
        <w:spacing w:after="0" w:line="45" w:lineRule="exact"/>
        <w:ind w:left="142" w:hanging="142"/>
        <w:jc w:val="right"/>
        <w:rPr>
          <w:rFonts w:ascii="Times New Roman" w:hAnsi="Times New Roman" w:cs="Arial"/>
          <w:sz w:val="24"/>
          <w:szCs w:val="20"/>
          <w:lang w:bidi="it-IT"/>
        </w:rPr>
      </w:pPr>
    </w:p>
    <w:p w:rsidR="00A8619A" w:rsidRPr="00A8619A" w:rsidRDefault="00A8619A" w:rsidP="00A8619A">
      <w:pPr>
        <w:widowControl w:val="0"/>
        <w:tabs>
          <w:tab w:val="left" w:pos="0"/>
        </w:tabs>
        <w:autoSpaceDE w:val="0"/>
        <w:autoSpaceDN w:val="0"/>
        <w:spacing w:after="0" w:line="240" w:lineRule="auto"/>
        <w:ind w:left="142" w:hanging="142"/>
        <w:jc w:val="right"/>
        <w:rPr>
          <w:rFonts w:asciiTheme="minorHAnsi" w:eastAsia="Calibri" w:hAnsiTheme="minorHAnsi" w:cstheme="minorHAnsi"/>
          <w:sz w:val="18"/>
          <w:szCs w:val="18"/>
          <w:lang w:eastAsia="en-US"/>
        </w:rPr>
      </w:pPr>
      <w:r w:rsidRPr="00A8619A">
        <w:rPr>
          <w:rFonts w:asciiTheme="minorHAnsi" w:eastAsia="Bookman Old Style" w:hAnsiTheme="minorHAnsi" w:cstheme="minorHAnsi"/>
          <w:sz w:val="18"/>
          <w:szCs w:val="18"/>
          <w:lang w:bidi="it-IT"/>
        </w:rPr>
        <w:t>(Firma autografa sostituita a mezzo stampa ai sensi dell’ex art. 3 comma 2 D.lgs n° 39/93)</w:t>
      </w:r>
    </w:p>
    <w:p w:rsidR="002A5E76" w:rsidRPr="00D40FEC" w:rsidRDefault="002A5E76" w:rsidP="002A5E76">
      <w:pPr>
        <w:rPr>
          <w:i/>
          <w:iCs/>
        </w:rPr>
      </w:pPr>
    </w:p>
    <w:p w:rsidR="005B0B81" w:rsidRPr="00443DC6" w:rsidRDefault="005B0B81" w:rsidP="00443DC6">
      <w:pPr>
        <w:jc w:val="both"/>
        <w:rPr>
          <w:i/>
          <w:iCs/>
        </w:rPr>
      </w:pPr>
    </w:p>
    <w:sectPr w:rsidR="005B0B81" w:rsidRPr="00443DC6" w:rsidSect="00BB25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733A"/>
    <w:multiLevelType w:val="hybridMultilevel"/>
    <w:tmpl w:val="0EA672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43DC6"/>
    <w:rsid w:val="000A5388"/>
    <w:rsid w:val="002A5E76"/>
    <w:rsid w:val="00443DC6"/>
    <w:rsid w:val="00522D80"/>
    <w:rsid w:val="005B0B81"/>
    <w:rsid w:val="00A8619A"/>
    <w:rsid w:val="00BB25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3DC6"/>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3DC6"/>
    <w:rPr>
      <w:color w:val="0000FF"/>
      <w:u w:val="single"/>
    </w:rPr>
  </w:style>
  <w:style w:type="paragraph" w:styleId="Paragrafoelenco">
    <w:name w:val="List Paragraph"/>
    <w:basedOn w:val="Normale"/>
    <w:uiPriority w:val="34"/>
    <w:qFormat/>
    <w:rsid w:val="00443DC6"/>
    <w:pPr>
      <w:spacing w:after="160" w:line="259" w:lineRule="auto"/>
      <w:ind w:left="720"/>
      <w:contextualSpacing/>
    </w:pPr>
    <w:rPr>
      <w:rFonts w:asciiTheme="minorHAnsi" w:eastAsiaTheme="minorHAnsi" w:hAnsiTheme="minorHAnsi" w:cstheme="minorBidi"/>
      <w:lang w:eastAsia="en-US"/>
    </w:rPr>
  </w:style>
  <w:style w:type="character" w:styleId="Enfasigrassetto">
    <w:name w:val="Strong"/>
    <w:basedOn w:val="Carpredefinitoparagrafo"/>
    <w:uiPriority w:val="22"/>
    <w:qFormat/>
    <w:rsid w:val="00443DC6"/>
    <w:rPr>
      <w:b/>
      <w:bCs/>
    </w:rPr>
  </w:style>
  <w:style w:type="paragraph" w:styleId="NormaleWeb">
    <w:name w:val="Normal (Web)"/>
    <w:basedOn w:val="Normale"/>
    <w:uiPriority w:val="99"/>
    <w:semiHidden/>
    <w:unhideWhenUsed/>
    <w:rsid w:val="00443DC6"/>
    <w:pPr>
      <w:spacing w:before="100" w:beforeAutospacing="1" w:after="100" w:afterAutospacing="1" w:line="240" w:lineRule="auto"/>
    </w:pPr>
    <w:rPr>
      <w:rFonts w:ascii="Times New Roman" w:hAnsi="Times New Roman"/>
      <w:sz w:val="24"/>
      <w:szCs w:val="24"/>
    </w:rPr>
  </w:style>
  <w:style w:type="character" w:styleId="Enfasicorsivo">
    <w:name w:val="Emphasis"/>
    <w:basedOn w:val="Carpredefinitoparagrafo"/>
    <w:uiPriority w:val="20"/>
    <w:qFormat/>
    <w:rsid w:val="00443DC6"/>
    <w:rPr>
      <w:i/>
      <w:iCs/>
    </w:rPr>
  </w:style>
  <w:style w:type="paragraph" w:styleId="Testofumetto">
    <w:name w:val="Balloon Text"/>
    <w:basedOn w:val="Normale"/>
    <w:link w:val="TestofumettoCarattere"/>
    <w:uiPriority w:val="99"/>
    <w:semiHidden/>
    <w:unhideWhenUsed/>
    <w:rsid w:val="00A861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19A"/>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259870561">
      <w:bodyDiv w:val="1"/>
      <w:marLeft w:val="0"/>
      <w:marRight w:val="0"/>
      <w:marTop w:val="0"/>
      <w:marBottom w:val="0"/>
      <w:divBdr>
        <w:top w:val="none" w:sz="0" w:space="0" w:color="auto"/>
        <w:left w:val="none" w:sz="0" w:space="0" w:color="auto"/>
        <w:bottom w:val="none" w:sz="0" w:space="0" w:color="auto"/>
        <w:right w:val="none" w:sz="0" w:space="0" w:color="auto"/>
      </w:divBdr>
    </w:div>
    <w:div w:id="426539080">
      <w:bodyDiv w:val="1"/>
      <w:marLeft w:val="0"/>
      <w:marRight w:val="0"/>
      <w:marTop w:val="0"/>
      <w:marBottom w:val="0"/>
      <w:divBdr>
        <w:top w:val="none" w:sz="0" w:space="0" w:color="auto"/>
        <w:left w:val="none" w:sz="0" w:space="0" w:color="auto"/>
        <w:bottom w:val="none" w:sz="0" w:space="0" w:color="auto"/>
        <w:right w:val="none" w:sz="0" w:space="0" w:color="auto"/>
      </w:divBdr>
    </w:div>
    <w:div w:id="14398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3" Type="http://schemas.openxmlformats.org/officeDocument/2006/relationships/settings" Target="settings.xm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2" Type="http://schemas.openxmlformats.org/officeDocument/2006/relationships/hyperlink" Target="mailto:CSIS014008@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5" Type="http://schemas.openxmlformats.org/officeDocument/2006/relationships/hyperlink" Target="alfonsina.arcuri@iispoloamantea.edu.it"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Marrapodi</dc:creator>
  <cp:lastModifiedBy>ACER</cp:lastModifiedBy>
  <cp:revision>2</cp:revision>
  <dcterms:created xsi:type="dcterms:W3CDTF">2021-10-25T15:02:00Z</dcterms:created>
  <dcterms:modified xsi:type="dcterms:W3CDTF">2021-10-25T15:02:00Z</dcterms:modified>
</cp:coreProperties>
</file>